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sz w:val="32"/>
          <w:szCs w:val="32"/>
          <w:u w:val="single"/>
        </w:rPr>
      </w:pPr>
      <w:r>
        <w:rPr>
          <w:rFonts w:cs="Times New Roman" w:ascii="Times New Roman" w:hAnsi="Times New Roman"/>
          <w:b/>
          <w:sz w:val="32"/>
          <w:szCs w:val="32"/>
          <w:u w:val="single"/>
        </w:rPr>
        <w:t>NOTA SOBRE A CRIMINALIZAÇÃO DO MST</w:t>
      </w:r>
    </w:p>
    <w:p>
      <w:pPr>
        <w:pStyle w:val="Normal"/>
        <w:spacing w:lineRule="auto" w:line="240" w:before="120" w:after="0"/>
        <w:jc w:val="center"/>
        <w:rPr>
          <w:rFonts w:cs="Times New Roman" w:ascii="Times New Roman" w:hAnsi="Times New Roman"/>
          <w:b/>
          <w:i/>
          <w:sz w:val="28"/>
          <w:szCs w:val="28"/>
        </w:rPr>
      </w:pPr>
      <w:r>
        <w:rPr>
          <w:rFonts w:cs="Times New Roman" w:ascii="Times New Roman" w:hAnsi="Times New Roman"/>
          <w:b/>
          <w:i/>
          <w:sz w:val="28"/>
          <w:szCs w:val="28"/>
        </w:rPr>
        <w:t xml:space="preserve">- subsídio para a Campanha Internacional de </w:t>
      </w:r>
    </w:p>
    <w:p>
      <w:pPr>
        <w:pStyle w:val="Normal"/>
        <w:spacing w:lineRule="auto" w:line="240" w:before="120" w:after="0"/>
        <w:jc w:val="center"/>
        <w:rPr>
          <w:rFonts w:cs="Times New Roman" w:ascii="Times New Roman" w:hAnsi="Times New Roman"/>
          <w:b/>
          <w:i/>
          <w:sz w:val="28"/>
          <w:szCs w:val="28"/>
        </w:rPr>
      </w:pPr>
      <w:r>
        <w:rPr>
          <w:rFonts w:cs="Times New Roman" w:ascii="Times New Roman" w:hAnsi="Times New Roman"/>
          <w:b/>
          <w:i/>
          <w:sz w:val="28"/>
          <w:szCs w:val="28"/>
        </w:rPr>
        <w:t xml:space="preserve">Liberdade aos presos da Reforma Agrária – 2016 – </w:t>
      </w:r>
    </w:p>
    <w:p>
      <w:pPr>
        <w:pStyle w:val="Normal"/>
        <w:jc w:val="center"/>
        <w:rPr>
          <w:rFonts w:cs="Times New Roman" w:ascii="Times New Roman" w:hAnsi="Times New Roman"/>
          <w:b/>
          <w:sz w:val="24"/>
          <w:szCs w:val="24"/>
          <w:u w:val="single"/>
        </w:rPr>
      </w:pPr>
      <w:r>
        <w:rPr>
          <w:rFonts w:cs="Times New Roman" w:ascii="Times New Roman" w:hAnsi="Times New Roman"/>
          <w:b/>
          <w:sz w:val="24"/>
          <w:szCs w:val="24"/>
          <w:u w:val="single"/>
        </w:rPr>
      </w:r>
    </w:p>
    <w:p>
      <w:pPr>
        <w:pStyle w:val="Normal"/>
        <w:jc w:val="right"/>
        <w:rPr>
          <w:rFonts w:cs="Times New Roman" w:ascii="Times New Roman" w:hAnsi="Times New Roman"/>
          <w:sz w:val="24"/>
          <w:szCs w:val="24"/>
        </w:rPr>
      </w:pPr>
      <w:r>
        <w:rPr>
          <w:rFonts w:cs="Times New Roman" w:ascii="Times New Roman" w:hAnsi="Times New Roman"/>
          <w:sz w:val="24"/>
          <w:szCs w:val="24"/>
        </w:rPr>
        <w:t>22</w:t>
      </w:r>
      <w:bookmarkStart w:id="0" w:name="_GoBack"/>
      <w:bookmarkEnd w:id="0"/>
      <w:r>
        <w:rPr>
          <w:rFonts w:cs="Times New Roman" w:ascii="Times New Roman" w:hAnsi="Times New Roman"/>
          <w:sz w:val="24"/>
          <w:szCs w:val="24"/>
        </w:rPr>
        <w:t xml:space="preserve"> de setembro de 2016.</w:t>
      </w:r>
    </w:p>
    <w:p>
      <w:pPr>
        <w:pStyle w:val="Normal"/>
        <w:jc w:val="both"/>
        <w:rPr>
          <w:rFonts w:cs="Times New Roman" w:ascii="Times New Roman" w:hAnsi="Times New Roman"/>
          <w:sz w:val="24"/>
          <w:szCs w:val="24"/>
        </w:rPr>
      </w:pPr>
      <w:r>
        <w:rPr>
          <w:rFonts w:cs="Times New Roman" w:ascii="Times New Roman" w:hAnsi="Times New Roman"/>
          <w:sz w:val="24"/>
          <w:szCs w:val="24"/>
        </w:rPr>
        <w:t>Está em curso uma grave e perigosa estratégia de criminalização do MST no estado de Goiás, a qual entendemos ser um atentando aos direitos humanos e um potencial risco para a luta popular não apenas no estado, mas em todo o país. Embora ainda circunscrita ao estado goiano, as ferramentas deste processo de criminalização e de estabelecimento de estado policial poderão ser utilizadas em qualquer outro estado brasileiro ou mesmo em âmbito federal, principalmente neste período de ruptura democrática.</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No dia 12 de abril os juizes Thiago Brandão Boghi, Rui Carlos de Faria e Vitor Umbelino, das Comarcas de Santa Helena, Mineiros e Rio Verde, respectivamente, decretaram a prisão preventiva de quatro militantes do MST, que, apesar de não terem cometido nenhum crime, são acusado de fazerem parte de uma </w:t>
      </w:r>
      <w:r>
        <w:rPr>
          <w:rFonts w:cs="Times New Roman" w:ascii="Times New Roman" w:hAnsi="Times New Roman"/>
          <w:i/>
          <w:sz w:val="24"/>
          <w:szCs w:val="24"/>
        </w:rPr>
        <w:t>Organização Criminosa</w:t>
      </w:r>
      <w:r>
        <w:rPr>
          <w:rFonts w:cs="Times New Roman" w:ascii="Times New Roman" w:hAnsi="Times New Roman"/>
          <w:sz w:val="24"/>
          <w:szCs w:val="24"/>
        </w:rPr>
        <w:t>. O agricultor Luiz Batista Borges, integrante do acampamento Pe. Josimo Tavares, foi preso ao se apresentar na delegacia de Rio Verde, Goiás, no dia 14 de abril. No dia 31 de maio o militante José Valdir Misnerovicz, reconhecido nacional e internacionalmente como lutador pela reforma agrária, foi preso em uma ação articulada entre as polícias de Goiás e do Rio Grande do Sul, onde se encontrava Valdir. Já, Lázaro Pereira da Luz foi preso dia 15 de junho último, em Itapaci, Goiás. Os militantes Natalino de Jesus e Diessyka Lorena estão exilados.</w:t>
      </w:r>
    </w:p>
    <w:p>
      <w:pPr>
        <w:pStyle w:val="Normal"/>
        <w:jc w:val="both"/>
        <w:rPr>
          <w:rFonts w:cs="Times New Roman" w:ascii="Times New Roman" w:hAnsi="Times New Roman"/>
          <w:sz w:val="24"/>
          <w:szCs w:val="24"/>
        </w:rPr>
      </w:pPr>
      <w:r>
        <w:rPr>
          <w:rFonts w:cs="Times New Roman" w:ascii="Times New Roman" w:hAnsi="Times New Roman"/>
          <w:sz w:val="24"/>
          <w:szCs w:val="24"/>
        </w:rPr>
        <w:t>Esta é a primeira vez no Brasil que o MST é criminalizado com base na lei 12.850/2013, que diz respeito às organizações criminosas. Esta lei, supostamente criada para atuar contra lavagem de dinheiro e tráfico, pode ser considerada a legitimação de um verdadeiro Estado de Exceção. Com base nela, os inquéritos correm de forma sigilosa e podem automaticamente contar com delação premiada, infiltração de agentes, quebra de sigilo fiscal, bancário e telefônico, escuta ambiente e outras arbitrariedades.</w:t>
      </w:r>
    </w:p>
    <w:p>
      <w:pPr>
        <w:pStyle w:val="Normal"/>
        <w:jc w:val="both"/>
        <w:rPr>
          <w:rFonts w:cs="Times New Roman" w:ascii="Times New Roman" w:hAnsi="Times New Roman"/>
          <w:sz w:val="24"/>
          <w:szCs w:val="24"/>
        </w:rPr>
      </w:pPr>
      <w:r>
        <w:rPr>
          <w:rFonts w:cs="Times New Roman" w:ascii="Times New Roman" w:hAnsi="Times New Roman"/>
          <w:sz w:val="24"/>
          <w:szCs w:val="24"/>
        </w:rPr>
        <w:t>Diferente do enquadramento Formação de Quadrilha, acusação que historicamente os juízes reacionários tentavam imputar ao MST e que nunca foi acatada pelos tribunais superiores, a Organização Criminosa pressupõe a teoria do Domínio dos Fatos. Ou seja, a rigor, entendendo o MST como organização criminosa, qualquer militante pode ser acusado em qualquer inquérito que seja iniciado. É a tentativa absurda de colocar na ilegalidade um movimento democrático, que luta pela reforma agrária no Brasil.</w:t>
      </w:r>
    </w:p>
    <w:p>
      <w:pPr>
        <w:pStyle w:val="Normal"/>
        <w:jc w:val="both"/>
        <w:rPr>
          <w:rFonts w:cs="Times New Roman" w:ascii="Times New Roman" w:hAnsi="Times New Roman"/>
          <w:sz w:val="24"/>
          <w:szCs w:val="24"/>
        </w:rPr>
      </w:pPr>
      <w:r>
        <w:rPr>
          <w:rFonts w:cs="Times New Roman" w:ascii="Times New Roman" w:hAnsi="Times New Roman"/>
          <w:sz w:val="24"/>
          <w:szCs w:val="24"/>
        </w:rPr>
        <w:t>Toda essa ofensiva é fruto de um avanço das forças conservadoras em nível estadual e em nível nacional. Nos últimos três anos e meio a luta pela terra em Goiás passou por uma intensa massificação, saltando de 600 famílias acampadas em 2013 para 6.500 famílias em 2016. Nesse período ocorreu a ocupação Dom Tomás Balduíno, no complexo Santa Mônica, latifúndio improdutivo de propriedade de um senador brasileiro e fruto da expropriação de camponeses, e da Usina Santa Helena, latifúndio canavieiro que deve cerca de 1,1 bilhão de reais a trabalhadores e à União.</w:t>
      </w:r>
    </w:p>
    <w:p>
      <w:pPr>
        <w:pStyle w:val="Normal"/>
        <w:jc w:val="both"/>
        <w:rPr>
          <w:rFonts w:cs="Times New Roman" w:ascii="Times New Roman" w:hAnsi="Times New Roman"/>
          <w:sz w:val="24"/>
          <w:szCs w:val="24"/>
        </w:rPr>
      </w:pPr>
      <w:r>
        <w:rPr>
          <w:rFonts w:cs="Times New Roman" w:ascii="Times New Roman" w:hAnsi="Times New Roman"/>
          <w:sz w:val="24"/>
          <w:szCs w:val="24"/>
        </w:rPr>
        <w:t>Diante desse crescimento, o agronegócio, articulado com o poder judiciário local e estadual, com o legislativo federal e com o executivo estadual, desencadeou esse processo de repressão, com perspectiva de inviabilizar a luta pela terra no estado.</w:t>
      </w:r>
    </w:p>
    <w:p>
      <w:pPr>
        <w:pStyle w:val="Normal"/>
        <w:jc w:val="both"/>
        <w:rPr>
          <w:rFonts w:cs="Times New Roman" w:ascii="Times New Roman" w:hAnsi="Times New Roman"/>
          <w:sz w:val="24"/>
          <w:szCs w:val="24"/>
        </w:rPr>
      </w:pPr>
      <w:r>
        <w:rPr>
          <w:rFonts w:cs="Times New Roman" w:ascii="Times New Roman" w:hAnsi="Times New Roman"/>
          <w:sz w:val="24"/>
          <w:szCs w:val="24"/>
        </w:rPr>
        <w:t>Em nível federal, o golpe em curso tem fortes vínculos com o agronegócio e com as forças conservadoras do judiciário e do legislativo. A iniciativa de enquadrar o MST como organização criminosa, apesar de ter iniciado em Goiás, já é defendida pela Bancada Ruralista do Congresso Federal e por figuras políticas que estão à frente do golpe.</w:t>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t>Coordenação do Comitê Goiano de Direitos Humanos Dom Tomás Balduino</w:t>
      </w:r>
    </w:p>
    <w:p>
      <w:pPr>
        <w:pStyle w:val="Normal"/>
        <w:spacing w:lineRule="auto" w:line="240" w:before="0" w:after="0"/>
        <w:jc w:val="center"/>
        <w:rPr>
          <w:rStyle w:val="LinkdaInternet"/>
          <w:rFonts w:cs="Times New Roman" w:ascii="Times New Roman" w:hAnsi="Times New Roman"/>
          <w:sz w:val="24"/>
          <w:szCs w:val="24"/>
        </w:rPr>
      </w:pPr>
      <w:hyperlink r:id="rId2">
        <w:r>
          <w:rPr>
            <w:rStyle w:val="LinkdaInternet"/>
            <w:rFonts w:cs="Times New Roman" w:ascii="Times New Roman" w:hAnsi="Times New Roman"/>
            <w:sz w:val="24"/>
            <w:szCs w:val="24"/>
          </w:rPr>
          <w:t>comitedhdomtomasbalduino@gmail.com</w:t>
        </w:r>
      </w:hyperlink>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pt-B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pt-BR" w:eastAsia="en-US" w:bidi="ar-SA"/>
    </w:rPr>
  </w:style>
  <w:style w:type="character" w:styleId="DefaultParagraphFont" w:default="1">
    <w:name w:val="Default Paragraph Font"/>
    <w:uiPriority w:val="1"/>
    <w:semiHidden/>
    <w:unhideWhenUsed/>
    <w:rPr/>
  </w:style>
  <w:style w:type="character" w:styleId="TextodenotaderodapChar" w:customStyle="1">
    <w:name w:val="Texto de nota de rodapé Char"/>
    <w:uiPriority w:val="99"/>
    <w:semiHidden/>
    <w:link w:val="Textodenotaderodap"/>
    <w:rsid w:val="003a57d9"/>
    <w:basedOn w:val="DefaultParagraphFont"/>
    <w:rPr>
      <w:sz w:val="20"/>
      <w:szCs w:val="20"/>
    </w:rPr>
  </w:style>
  <w:style w:type="character" w:styleId="Footnotereference">
    <w:name w:val="footnote reference"/>
    <w:uiPriority w:val="99"/>
    <w:semiHidden/>
    <w:unhideWhenUsed/>
    <w:rsid w:val="003a57d9"/>
    <w:basedOn w:val="DefaultParagraphFont"/>
    <w:rPr>
      <w:vertAlign w:val="superscript"/>
    </w:rPr>
  </w:style>
  <w:style w:type="character" w:styleId="LinkdaInternet">
    <w:name w:val="Link da Internet"/>
    <w:uiPriority w:val="99"/>
    <w:unhideWhenUsed/>
    <w:rsid w:val="003a57d9"/>
    <w:basedOn w:val="DefaultParagraphFont"/>
    <w:rPr>
      <w:color w:val="0000FF"/>
      <w:u w:val="single"/>
      <w:lang w:val="zxx" w:eastAsia="zxx" w:bidi="zxx"/>
    </w:rPr>
  </w:style>
  <w:style w:type="character" w:styleId="TextodebaloChar" w:customStyle="1">
    <w:name w:val="Texto de balão Char"/>
    <w:uiPriority w:val="99"/>
    <w:semiHidden/>
    <w:link w:val="Textodebalo"/>
    <w:rsid w:val="00331bfa"/>
    <w:basedOn w:val="DefaultParagraphFont"/>
    <w:rPr>
      <w:rFonts w:ascii="Tahoma" w:hAnsi="Tahoma" w:cs="Tahoma"/>
      <w:sz w:val="16"/>
      <w:szCs w:val="16"/>
    </w:rPr>
  </w:style>
  <w:style w:type="character" w:styleId="ListLabel1">
    <w:name w:val="ListLabel 1"/>
    <w:rPr>
      <w:rFonts w:cs="Courier New"/>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Footnotetext">
    <w:name w:val="footnote text"/>
    <w:uiPriority w:val="99"/>
    <w:semiHidden/>
    <w:unhideWhenUsed/>
    <w:link w:val="TextodenotaderodapChar"/>
    <w:rsid w:val="003a57d9"/>
    <w:basedOn w:val="Normal"/>
    <w:pPr>
      <w:spacing w:lineRule="auto" w:line="240" w:before="0" w:after="0"/>
    </w:pPr>
    <w:rPr>
      <w:sz w:val="20"/>
      <w:szCs w:val="20"/>
    </w:rPr>
  </w:style>
  <w:style w:type="paragraph" w:styleId="ListParagraph">
    <w:name w:val="List Paragraph"/>
    <w:uiPriority w:val="34"/>
    <w:qFormat/>
    <w:rsid w:val="00cb2470"/>
    <w:basedOn w:val="Normal"/>
    <w:pPr>
      <w:spacing w:before="0" w:after="200"/>
      <w:ind w:left="720" w:right="0" w:hanging="0"/>
      <w:contextualSpacing/>
    </w:pPr>
    <w:rPr/>
  </w:style>
  <w:style w:type="paragraph" w:styleId="BalloonText">
    <w:name w:val="Balloon Text"/>
    <w:uiPriority w:val="99"/>
    <w:semiHidden/>
    <w:unhideWhenUsed/>
    <w:link w:val="TextodebaloChar"/>
    <w:rsid w:val="00331bfa"/>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itedhdomtomasbalduino@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8DF2-E8A5-4EC2-B82E-4366117C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2016-09-21T02:16:00Z</dcterms:created>
  <dc:creator>Luiz Henrique Zarref</dc:creator>
  <dc:language>pt-BR</dc:language>
  <cp:lastModifiedBy>Frei Ze Fernandes</cp:lastModifiedBy>
  <cp:lastPrinted>2016-05-30T15:24:00Z</cp:lastPrinted>
  <dcterms:modified xsi:type="dcterms:W3CDTF">2016-09-23T21:55:00Z</dcterms:modified>
  <cp:revision>5</cp:revision>
</cp:coreProperties>
</file>